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>
      <w:bookmarkStart w:id="0" w:name="_GoBack"/>
      <w:bookmarkEnd w:id="0"/>
    </w:p>
    <w:p w:rsidR="00CE4AAC" w:rsidRDefault="008466C5">
      <w:pPr>
        <w:pStyle w:val="Heading2"/>
      </w:pPr>
      <w:r>
        <w:t>02035 Ured za opće poslove Hrvatskoga sabora i Vlade Republike Hrvatske</w:t>
      </w:r>
    </w:p>
    <w:p w:rsidR="00CE4AAC" w:rsidRDefault="008466C5">
      <w:pPr>
        <w:pStyle w:val="Normal3"/>
      </w:pPr>
      <w:r>
        <w:t>Ured za opće poslove Hrvatskoga sabora i Vlade Republike Hrvatske (u daljnjem tekstu: Ured) je zajednička stručna služba Hrvatskoga sabora, Vlade Republike Hrvatske, Ureda predsjednika Vlade Republike Hrvatske te ureda i stručnih službi Vlade Republike Hrv</w:t>
      </w:r>
      <w:r>
        <w:t xml:space="preserve">atske. Ured također pruža podršku u radu Ureda predsjednice Republike Hrvatske po prestanku obnašanja dužnosti.  </w:t>
      </w:r>
    </w:p>
    <w:p w:rsidR="00CE4AAC" w:rsidRDefault="008466C5">
      <w:pPr>
        <w:pStyle w:val="Normal3"/>
      </w:pPr>
      <w:r>
        <w:t>Djelokrug Ureda podijeljen je kroz 6 službi koje pružaju podršku radu ureda o kojima Ured brine u područjima   stručnih pravnih poslova, poslo</w:t>
      </w:r>
      <w:r>
        <w:t>va upravljanja ljudskim potencijalima, poslova uredskog poslovanja, poslova koordiniranja financijskog planiranja, pripreme, kontrole i izvršenja proračuna, financijsko-računovodstvenih poslova, poslova rukovanja imovinom i analitičko knjigovodstvenih evid</w:t>
      </w:r>
      <w:r>
        <w:t xml:space="preserve">encija, poslova javne nabave, poslova voznog parka, poslova informacijske i komunikacijske podrške te administrativnih, općih i tehničkih poslova. </w:t>
      </w:r>
    </w:p>
    <w:p w:rsidR="00CE4AAC" w:rsidRDefault="008466C5">
      <w:pPr>
        <w:pStyle w:val="Normal3"/>
      </w:pPr>
      <w:r>
        <w:t>U narednom trogodišnjem razdoblju fokus poslovanja Ureda bit će usmjeren na pružanje operativne podrške u ra</w:t>
      </w:r>
      <w:r>
        <w:t>du gore navedenih tijela, podmirenje fiksnih i ugovornih obveza, dodatna ulaganja u stručna znanja djelatnika i imovinu te unapređenje informatičkog sustava.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74"/>
        <w:gridCol w:w="1550"/>
        <w:gridCol w:w="1550"/>
        <w:gridCol w:w="1550"/>
        <w:gridCol w:w="1562"/>
        <w:gridCol w:w="1550"/>
        <w:gridCol w:w="970"/>
      </w:tblGrid>
      <w:tr w:rsidR="00CE4AAC">
        <w:trPr>
          <w:jc w:val="center"/>
        </w:trPr>
        <w:tc>
          <w:tcPr>
            <w:tcW w:w="1530" w:type="dxa"/>
            <w:shd w:val="clear" w:color="auto" w:fill="B5C0D8"/>
          </w:tcPr>
          <w:p w:rsidR="00CE4AAC" w:rsidRDefault="00CE4AAC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 xml:space="preserve">Indeks </w:t>
            </w:r>
            <w:r>
              <w:rPr>
                <w:rFonts w:cs="Times New Roman"/>
              </w:rPr>
              <w:t>2025/2024</w:t>
            </w:r>
          </w:p>
        </w:tc>
      </w:tr>
      <w:tr w:rsidR="00CE4AAC">
        <w:trPr>
          <w:jc w:val="center"/>
        </w:trPr>
        <w:tc>
          <w:tcPr>
            <w:tcW w:w="153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02035-Ured za opće poslove Hrvatskoga sabora i Vlade Republike Hrvatske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9.390.868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9.244.484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8.382.613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11.734.331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9.290.626</w:t>
            </w:r>
          </w:p>
        </w:tc>
        <w:tc>
          <w:tcPr>
            <w:tcW w:w="51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90,7</w:t>
            </w:r>
          </w:p>
        </w:tc>
      </w:tr>
    </w:tbl>
    <w:p w:rsidR="00CE4AAC" w:rsidRDefault="00CE4AAC">
      <w:pPr>
        <w:jc w:val="left"/>
      </w:pPr>
    </w:p>
    <w:p w:rsidR="00CE4AAC" w:rsidRDefault="008466C5">
      <w:pPr>
        <w:pStyle w:val="Heading3"/>
      </w:pPr>
      <w:r>
        <w:rPr>
          <w:rFonts w:cs="Times New Roman"/>
        </w:rPr>
        <w:t>2110 OPĆI POSLOVI ZA POTREBE HRVATSKOG SABORA I VLADE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8"/>
        <w:gridCol w:w="1543"/>
        <w:gridCol w:w="1543"/>
        <w:gridCol w:w="1543"/>
        <w:gridCol w:w="1556"/>
        <w:gridCol w:w="1543"/>
        <w:gridCol w:w="970"/>
      </w:tblGrid>
      <w:tr w:rsidR="00CE4AAC">
        <w:trPr>
          <w:jc w:val="center"/>
        </w:trPr>
        <w:tc>
          <w:tcPr>
            <w:tcW w:w="1530" w:type="dxa"/>
            <w:shd w:val="clear" w:color="auto" w:fill="B5C0D8"/>
          </w:tcPr>
          <w:p w:rsidR="00CE4AAC" w:rsidRDefault="00CE4AAC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CE4AAC">
        <w:trPr>
          <w:jc w:val="center"/>
        </w:trPr>
        <w:tc>
          <w:tcPr>
            <w:tcW w:w="153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2110-OPĆI POSLOVI ZA POTREBE HRVATSKOG SABORA I VLADE REPUBLIKE HRVATSKE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9.390.868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9.244.484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8.382.613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11.734.331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9.290.626</w:t>
            </w:r>
          </w:p>
        </w:tc>
        <w:tc>
          <w:tcPr>
            <w:tcW w:w="51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90,7</w:t>
            </w:r>
          </w:p>
        </w:tc>
      </w:tr>
    </w:tbl>
    <w:p w:rsidR="00CE4AAC" w:rsidRDefault="00CE4AAC">
      <w:pPr>
        <w:jc w:val="left"/>
      </w:pPr>
    </w:p>
    <w:p w:rsidR="00CE4AAC" w:rsidRDefault="008466C5">
      <w:pPr>
        <w:pStyle w:val="Heading7"/>
      </w:pPr>
      <w:r>
        <w:t>Cilj 1. Učinkovito, ekonomično i djelotvorno gospodarenje imovinom i sredstvima proračunskih korisnika za čije se poslovanje Ured brine</w:t>
      </w:r>
    </w:p>
    <w:p w:rsidR="00CE4AAC" w:rsidRDefault="008466C5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92"/>
        <w:gridCol w:w="2292"/>
        <w:gridCol w:w="937"/>
        <w:gridCol w:w="937"/>
        <w:gridCol w:w="937"/>
        <w:gridCol w:w="937"/>
        <w:gridCol w:w="937"/>
        <w:gridCol w:w="937"/>
      </w:tblGrid>
      <w:tr w:rsidR="00CE4AAC">
        <w:trPr>
          <w:jc w:val="center"/>
        </w:trPr>
        <w:tc>
          <w:tcPr>
            <w:tcW w:w="2245" w:type="dxa"/>
            <w:shd w:val="clear" w:color="auto" w:fill="B5C0D8"/>
          </w:tcPr>
          <w:p w:rsidR="00CE4AAC" w:rsidRDefault="008466C5">
            <w:r>
              <w:t>Pokazatelj učinka</w:t>
            </w:r>
          </w:p>
        </w:tc>
        <w:tc>
          <w:tcPr>
            <w:tcW w:w="2245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Ci</w:t>
            </w:r>
            <w:r>
              <w:rPr>
                <w:rFonts w:cs="Times New Roman"/>
              </w:rPr>
              <w:t>ljana vrijednost (2026.)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Ciljana vrijednost (2027.)</w:t>
            </w:r>
          </w:p>
        </w:tc>
      </w:tr>
      <w:tr w:rsidR="00CE4AAC">
        <w:trPr>
          <w:jc w:val="center"/>
        </w:trPr>
        <w:tc>
          <w:tcPr>
            <w:tcW w:w="2245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lastRenderedPageBreak/>
              <w:t>Osigurana potpora, smjernice i kontrole u ostvarivanju djelatnosti ureda o kojima brine Ured za opće poslove Hrvatskoga sabora i Vlade Republike Hrvatske</w:t>
            </w:r>
          </w:p>
        </w:tc>
        <w:tc>
          <w:tcPr>
            <w:tcW w:w="2245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Potpore i smjernice su bitni elementi u održavanju dobre komunikacije čime se utječe na uklanjanje nedoumica, grešaka i nepravilnosti te se osigurava zakonito, svrhovito i učinkovito trošenje osiguranih proračunskih sredstava uz prethodne i naknadne kontro</w:t>
            </w:r>
            <w:r>
              <w:rPr>
                <w:rFonts w:cs="Times New Roman"/>
              </w:rPr>
              <w:t>le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%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Ured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</w:tr>
    </w:tbl>
    <w:p w:rsidR="00CE4AAC" w:rsidRDefault="00CE4AAC">
      <w:pPr>
        <w:jc w:val="left"/>
      </w:pPr>
    </w:p>
    <w:p w:rsidR="00CE4AAC" w:rsidRDefault="008466C5">
      <w:pPr>
        <w:pStyle w:val="Heading4"/>
      </w:pPr>
      <w:r>
        <w:t>A515000 ADMINISTRACIJA I UPRAVLJANJE</w:t>
      </w:r>
    </w:p>
    <w:p w:rsidR="00CE4AAC" w:rsidRDefault="008466C5">
      <w:pPr>
        <w:pStyle w:val="Heading8"/>
        <w:jc w:val="left"/>
      </w:pPr>
      <w:r>
        <w:t>Zakonske i druge pravne osnove</w:t>
      </w:r>
    </w:p>
    <w:p w:rsidR="00CE4AAC" w:rsidRDefault="008466C5">
      <w:pPr>
        <w:pStyle w:val="Normal5"/>
      </w:pPr>
      <w:r>
        <w:t>Uredba o Uredu za opće poslove Hrvatskoga sabora i Vlade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484"/>
        <w:gridCol w:w="1485"/>
        <w:gridCol w:w="1485"/>
        <w:gridCol w:w="1505"/>
        <w:gridCol w:w="1485"/>
        <w:gridCol w:w="970"/>
      </w:tblGrid>
      <w:tr w:rsidR="00CE4AAC">
        <w:trPr>
          <w:jc w:val="center"/>
        </w:trPr>
        <w:tc>
          <w:tcPr>
            <w:tcW w:w="153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CE4AAC">
        <w:trPr>
          <w:jc w:val="center"/>
        </w:trPr>
        <w:tc>
          <w:tcPr>
            <w:tcW w:w="153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A515000-ADMINISTRACIJA I UPRAVLJANJE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9.135.095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9.061.186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7.981.613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11.410.331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8.966.626</w:t>
            </w:r>
          </w:p>
        </w:tc>
        <w:tc>
          <w:tcPr>
            <w:tcW w:w="51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88,1</w:t>
            </w:r>
          </w:p>
        </w:tc>
      </w:tr>
    </w:tbl>
    <w:p w:rsidR="00CE4AAC" w:rsidRDefault="00CE4AAC">
      <w:pPr>
        <w:jc w:val="left"/>
      </w:pPr>
    </w:p>
    <w:p w:rsidR="00CE4AAC" w:rsidRDefault="008466C5">
      <w:r>
        <w:t>U okviru aktivnosti A515000 Administracija i upravljanje planirana su sredstva na izvoru financiranja 11 Opći prihodi i primici te izvoru financiranja 31 Vlastiti prihodi u ukupnom iznosu 7.981.613,00 eura za 2025. godinu, 11.410.331,00 eura za 2026. godin</w:t>
      </w:r>
      <w:r>
        <w:t xml:space="preserve">u te 8.966.626,00 eura za 2027. godinu. </w:t>
      </w:r>
    </w:p>
    <w:p w:rsidR="00CE4AAC" w:rsidRDefault="008466C5">
      <w:r>
        <w:t xml:space="preserve"> </w:t>
      </w:r>
    </w:p>
    <w:p w:rsidR="00CE4AAC" w:rsidRDefault="008466C5">
      <w:r>
        <w:t xml:space="preserve">U nastavku dajemo razradu planiranih sredstava po skupinama rashoda i izvorima financiranja kako slijedi:  </w:t>
      </w:r>
    </w:p>
    <w:p w:rsidR="00CE4AAC" w:rsidRDefault="008466C5">
      <w:r>
        <w:t>Na izvoru financiranja 11 Opći prihodi i primici planirana su sredstva u iznosu 7.681.413,00 eura za 2025</w:t>
      </w:r>
      <w:r>
        <w:t xml:space="preserve">. godinu, 11.110.131,00 eura za 2026. godinu i 8.666.426 eura za 2027. godinu.  </w:t>
      </w:r>
    </w:p>
    <w:p w:rsidR="00CE4AAC" w:rsidRDefault="008466C5">
      <w:r>
        <w:t xml:space="preserve"> </w:t>
      </w:r>
    </w:p>
    <w:p w:rsidR="00CE4AAC" w:rsidRDefault="008466C5">
      <w:r>
        <w:t xml:space="preserve">U nastavku dajemo razradu planiranih sredstava po skupinama rashoda kako slijedi:  </w:t>
      </w:r>
    </w:p>
    <w:p w:rsidR="00CE4AAC" w:rsidRDefault="008466C5">
      <w:r>
        <w:t xml:space="preserve"> </w:t>
      </w:r>
    </w:p>
    <w:p w:rsidR="00CE4AAC" w:rsidRDefault="008466C5">
      <w:r>
        <w:t xml:space="preserve">31 Rashodi za zaposlene  </w:t>
      </w:r>
    </w:p>
    <w:p w:rsidR="00CE4AAC" w:rsidRDefault="008466C5">
      <w:r>
        <w:t>Planirana su sredstva u iznosu 5.637.118,00 eura za 2025. god</w:t>
      </w:r>
      <w:r>
        <w:t xml:space="preserve">inu, 5.751.006,00 eura za 2026. godinu te 5.790.441,00 eura za 2027. godinu. Planirana su sredstva za redovan i prekovremeni rad te doprinose za 237 državnih službenika i namještenika. </w:t>
      </w:r>
    </w:p>
    <w:p w:rsidR="00CE4AAC" w:rsidRDefault="008466C5">
      <w:r>
        <w:t xml:space="preserve"> </w:t>
      </w:r>
    </w:p>
    <w:p w:rsidR="00CE4AAC" w:rsidRDefault="008466C5">
      <w:r>
        <w:t xml:space="preserve">32 Materijalni rashodi  </w:t>
      </w:r>
    </w:p>
    <w:p w:rsidR="00CE4AAC" w:rsidRDefault="008466C5">
      <w:r>
        <w:t>Planirana su sredstva u iznosu 1.879.343,00</w:t>
      </w:r>
      <w:r>
        <w:t xml:space="preserve"> eura za 2025. godinu, 1.869.473,00 eura za 2026. godinu te 2.706.333,00 eura za 2027. godinu. Zbog specifičnosti poslovanja Ureda, sredstva planirana u okviru ove skupine rashoda možemo podijeliti na tri kategorije: </w:t>
      </w:r>
    </w:p>
    <w:p w:rsidR="00CE4AAC" w:rsidRDefault="008466C5">
      <w:r>
        <w:t xml:space="preserve">1. fiksni troškovi Ureda </w:t>
      </w:r>
    </w:p>
    <w:p w:rsidR="00CE4AAC" w:rsidRDefault="008466C5">
      <w:r>
        <w:t xml:space="preserve">2. troškovi </w:t>
      </w:r>
      <w:r>
        <w:t xml:space="preserve">Ureda za podmirenje zadaća i obveza koje su sukladno Uredbi stavljene u djelokrug rada Ureda </w:t>
      </w:r>
    </w:p>
    <w:p w:rsidR="00CE4AAC" w:rsidRDefault="008466C5">
      <w:r>
        <w:t xml:space="preserve">3. troškovi za ulaganja u imovinu, stručna znanja i informatički sustav. </w:t>
      </w:r>
    </w:p>
    <w:p w:rsidR="00CE4AAC" w:rsidRDefault="008466C5">
      <w:r>
        <w:t xml:space="preserve"> </w:t>
      </w:r>
    </w:p>
    <w:p w:rsidR="00CE4AAC" w:rsidRDefault="008466C5">
      <w:r>
        <w:t xml:space="preserve">U kategoriji fiksnih troškova Ureda planirana su sredstva u iznosu 640.125,00 eura za </w:t>
      </w:r>
      <w:r>
        <w:t xml:space="preserve">2025. godinu, 589.665,00 eura za 2026. godinu i 623.325,00 eura za 2027. godinu. Sredstva se odnose na: naknade za prijevoz na posao i s posla </w:t>
      </w:r>
      <w:r>
        <w:lastRenderedPageBreak/>
        <w:t>državnih službenika i namještenika, stručne seminare, uredske potrepštine i pretplate na stručnu literaturu, reži</w:t>
      </w:r>
      <w:r>
        <w:t>jske, telekomunikacijske i komunalne troškove, nabavu materijala te usluga za održavanje zgrade i opreme, sitni inventar, tiskovine, oglase, najam opreme i jednogodišnje licence, sistematske preglede, računalne usluge, usluge čišćenja, usluge izrade iskazn</w:t>
      </w:r>
      <w:r>
        <w:t xml:space="preserve">ica, reprezentaciju. </w:t>
      </w:r>
    </w:p>
    <w:p w:rsidR="00CE4AAC" w:rsidRDefault="008466C5">
      <w:r>
        <w:t xml:space="preserve"> </w:t>
      </w:r>
    </w:p>
    <w:p w:rsidR="00CE4AAC" w:rsidRDefault="008466C5">
      <w:r>
        <w:t xml:space="preserve">U kategoriji troškova Ureda za podmirenje zadaća i obveza koje su sukladno Uredbi stavljene u djelokrug rada Ureda planirana su sredstva u iznosu 870.908,00 eura za 2025. godinu, 872.008,00 eura za 2026. godinu i 877.008,00 eura za </w:t>
      </w:r>
      <w:r>
        <w:t>2027. godinu. Sredstva se odnose na: prijevoz na službenim putovanjima, gorivo, registraciju, osiguranje i održavanje službenih automobila, nabavu materijala za održavanje službenih automobila, nabavu auto guma, nabavu radne odjeće, nabavu materijala za či</w:t>
      </w:r>
      <w:r>
        <w:t xml:space="preserve">šćenje i održavanje, podmirenje režijskih i komunalnih usluga za potrebe ureda i službi na lokacijama van matičnog Ureda, podmirenje troškova fiksne telefonije, najam garažnih mjesta, usluge outsourcinga za čišćenje, usluge tehničke zaštite.  </w:t>
      </w:r>
    </w:p>
    <w:p w:rsidR="00CE4AAC" w:rsidRDefault="008466C5">
      <w:r>
        <w:t xml:space="preserve"> </w:t>
      </w:r>
    </w:p>
    <w:p w:rsidR="00CE4AAC" w:rsidRDefault="008466C5">
      <w:r>
        <w:t>U kategori</w:t>
      </w:r>
      <w:r>
        <w:t>ji troškova za ulaganja u imovinu, stručna znanja i informatički sustav planirana su sredstva u iznosu 368.310,00 eura za 2025. godinu, 407.800,00 eura za 2026. godinu i 1.206.000,00 eura za 2027. godinu. Sredstva se odnose na: stručna usavršavanja djelatn</w:t>
      </w:r>
      <w:r>
        <w:t>ika u području informatičke sigurnosti te korištenja informatičkih alata, projekt obnove zgrade u Mesničkoj 23 u kojoj pored dijela djelatnika Ureda borave i djelatnici Stručne službe Savjeta za nacionalne manjine, Ureda za ljudska prava i prava nacionalni</w:t>
      </w:r>
      <w:r>
        <w:t xml:space="preserve">h manjina, Ureda Komisije za odnose s vjerskim zajednicama i Ureda za ravnopravnost spolova, projekt sanacije vlage u prostoru arhive, uvođenje održavanja postojećih tehničkih sustava, analizu informatičkog sustava i implementaciju preporuka iste. </w:t>
      </w:r>
    </w:p>
    <w:p w:rsidR="00CE4AAC" w:rsidRDefault="008466C5">
      <w:r>
        <w:t xml:space="preserve"> </w:t>
      </w:r>
    </w:p>
    <w:p w:rsidR="00CE4AAC" w:rsidRDefault="008466C5">
      <w:r>
        <w:t xml:space="preserve">34 Financijski rashodi  </w:t>
      </w:r>
    </w:p>
    <w:p w:rsidR="00CE4AAC" w:rsidRDefault="008466C5">
      <w:r>
        <w:t xml:space="preserve">Planirana su sredstva u iznosu 152,00 eura za svaku godinu planiranja. Sredstva su planirana za bankarske usluge, negativne tečajne razlike i zatezne kamate.  </w:t>
      </w:r>
    </w:p>
    <w:p w:rsidR="00CE4AAC" w:rsidRDefault="008466C5">
      <w:r>
        <w:t xml:space="preserve">   </w:t>
      </w:r>
    </w:p>
    <w:p w:rsidR="00CE4AAC" w:rsidRDefault="008466C5">
      <w:r>
        <w:t xml:space="preserve">37 Naknade građanima i kućanstvima na temelju osiguranja i druge naknade  </w:t>
      </w:r>
    </w:p>
    <w:p w:rsidR="00CE4AAC" w:rsidRDefault="008466C5">
      <w:r>
        <w:t xml:space="preserve">Planirana su sredstva u iznosu 30.000,00 eura za svaku godinu planiranja. Sredstva su planirana za dodatna školovanja i prekvalifikacije djelatnika Ureda.  </w:t>
      </w:r>
    </w:p>
    <w:p w:rsidR="00CE4AAC" w:rsidRDefault="008466C5">
      <w:r>
        <w:t xml:space="preserve">   </w:t>
      </w:r>
    </w:p>
    <w:p w:rsidR="00CE4AAC" w:rsidRDefault="008466C5">
      <w:r>
        <w:t>38 Rashodi za donaci</w:t>
      </w:r>
      <w:r>
        <w:t xml:space="preserve">je, kazne, naknade šteta i kapitalne pomoći  </w:t>
      </w:r>
    </w:p>
    <w:p w:rsidR="00CE4AAC" w:rsidRDefault="008466C5">
      <w:r>
        <w:t xml:space="preserve">Planirana su sredstva u iznosu 10.500,00 eura za svaku godinu planiranja. Sredstva su planirana za isplatu potencijalnih žalbi na postupke javne nabave.   </w:t>
      </w:r>
    </w:p>
    <w:p w:rsidR="00CE4AAC" w:rsidRDefault="008466C5">
      <w:r>
        <w:t xml:space="preserve"> </w:t>
      </w:r>
    </w:p>
    <w:p w:rsidR="00CE4AAC" w:rsidRDefault="008466C5">
      <w:r>
        <w:t xml:space="preserve">42 Rashodi za nabavu proizvedene dugotrajne imovine </w:t>
      </w:r>
      <w:r>
        <w:t xml:space="preserve"> </w:t>
      </w:r>
    </w:p>
    <w:p w:rsidR="00CE4AAC" w:rsidRDefault="008466C5">
      <w:r>
        <w:t>Planirana su sredstva u iznosu 124.300,00 eura za 2025. godinu, 299.000,00 eura za 2026. godinu te 129.000,00 eura za 2027. godinu. Sredstva su planirana za zamjenu namještaja i tehničke opreme u arhivi nakon sanacije prostora od vlage (tijekom 2027. god</w:t>
      </w:r>
      <w:r>
        <w:t xml:space="preserve">ine), nabave dodatne komunikacijske opreme za podatkovni promet, opreme za dogradnju tehničkih sustava zaštite, opreme za čišćenje, ugostiteljske opreme te kotla za zgradu u Mesničkoj u iznosu od 200.000,00 eura (tijekom 2026. godine).   </w:t>
      </w:r>
    </w:p>
    <w:p w:rsidR="00CE4AAC" w:rsidRDefault="008466C5">
      <w:r>
        <w:t xml:space="preserve"> </w:t>
      </w:r>
    </w:p>
    <w:p w:rsidR="00CE4AAC" w:rsidRDefault="008466C5">
      <w:r>
        <w:t>45 Rashodi za d</w:t>
      </w:r>
      <w:r>
        <w:t xml:space="preserve">odatna ulaganja na nefinancijskoj imovini </w:t>
      </w:r>
    </w:p>
    <w:p w:rsidR="00CE4AAC" w:rsidRDefault="008466C5">
      <w:r>
        <w:t>Planirana su sredstva u iznosu 3.150.000,00 eura za 2026. godinu za radove obnove i stručnog nadzora obnove zgrade u Mesničkoj 23 u kojoj pored dijela djelatnika Ureda borave i djelatnici sljedećih ureda i stručni</w:t>
      </w:r>
      <w:r>
        <w:t>h službi Vlade Republike Hrvatske: Stručna služba Savjeta za nacionalne manjine, Ured za ljudska prava i prava nacionalnih manjina, Ured Komisije za odnose s vjerskim zajednicama, Ured za ravnopravnost spolova. Obnova bi obuhvaćala zamjenu elektro i vodnih</w:t>
      </w:r>
      <w:r>
        <w:t xml:space="preserve"> instalacija, parketa te soboslikarske radove.  </w:t>
      </w:r>
    </w:p>
    <w:p w:rsidR="00CE4AAC" w:rsidRDefault="008466C5">
      <w:r>
        <w:t xml:space="preserve"> </w:t>
      </w:r>
    </w:p>
    <w:p w:rsidR="00CE4AAC" w:rsidRDefault="008466C5">
      <w:r>
        <w:t xml:space="preserve"> </w:t>
      </w:r>
    </w:p>
    <w:p w:rsidR="00CE4AAC" w:rsidRDefault="008466C5">
      <w:r>
        <w:t xml:space="preserve">Na izvoru financiranja 31 Vlastiti prihodi planirana su sredstva u iznosu 300.200,00 eura za svaku godinu planiranja.  </w:t>
      </w:r>
    </w:p>
    <w:p w:rsidR="00CE4AAC" w:rsidRDefault="008466C5">
      <w:r>
        <w:t xml:space="preserve">U nastavku dajemo razradu planiranih sredstava po skupinama rashoda kako slijedi:  </w:t>
      </w:r>
    </w:p>
    <w:p w:rsidR="00CE4AAC" w:rsidRDefault="008466C5">
      <w:r>
        <w:t xml:space="preserve">   </w:t>
      </w:r>
    </w:p>
    <w:p w:rsidR="00CE4AAC" w:rsidRDefault="008466C5">
      <w:r>
        <w:t xml:space="preserve">32 Materijalni rashodi  </w:t>
      </w:r>
    </w:p>
    <w:p w:rsidR="00CE4AAC" w:rsidRDefault="008466C5">
      <w:r>
        <w:t>Planirana su sredstva u iznosu 300.00,00 eura za svaku godinu planiranja. Sredstva su planirana za nabavu namirnica za potrebe ugostiteljstva uzimajući u obzir porast cijena istih te za podmirenje troškova obroka za vrijeme pr</w:t>
      </w:r>
      <w:r>
        <w:t xml:space="preserve">eseljenja Hrvatskoga sabora na novu lokaciju dok traje obnova od posljedica potresa. </w:t>
      </w:r>
    </w:p>
    <w:p w:rsidR="00CE4AAC" w:rsidRDefault="008466C5">
      <w:r>
        <w:t xml:space="preserve"> </w:t>
      </w:r>
    </w:p>
    <w:p w:rsidR="00CE4AAC" w:rsidRDefault="008466C5">
      <w:r>
        <w:t xml:space="preserve">34 Financijski rashodi  </w:t>
      </w:r>
    </w:p>
    <w:p w:rsidR="00CE4AAC" w:rsidRDefault="008466C5">
      <w:r>
        <w:t>Planirana su sredstva u iznosu 200,00 eura za svaku godinu planiranja.</w:t>
      </w:r>
    </w:p>
    <w:p w:rsidR="00CE4AAC" w:rsidRDefault="008466C5">
      <w:pPr>
        <w:pStyle w:val="Heading4"/>
      </w:pPr>
      <w:r>
        <w:t>A515017 OBVEZE PO SUDSKIM SPOROVIMA</w:t>
      </w:r>
    </w:p>
    <w:p w:rsidR="00CE4AAC" w:rsidRDefault="008466C5">
      <w:pPr>
        <w:pStyle w:val="Heading8"/>
        <w:jc w:val="left"/>
      </w:pPr>
      <w:r>
        <w:t>Zakonske i druge pravne osnove</w:t>
      </w:r>
    </w:p>
    <w:p w:rsidR="00CE4AAC" w:rsidRDefault="008466C5">
      <w:pPr>
        <w:pStyle w:val="Normal5"/>
      </w:pPr>
      <w:r>
        <w:t>Uredb</w:t>
      </w:r>
      <w:r>
        <w:t xml:space="preserve">a o Uredu za opće poslove Hrvatskoga sabora i Vlade Republike Hrvatske </w:t>
      </w:r>
    </w:p>
    <w:p w:rsidR="00CE4AAC" w:rsidRDefault="008466C5">
      <w:pPr>
        <w:pStyle w:val="Normal5"/>
      </w:pPr>
      <w:r>
        <w:t xml:space="preserve">Zakon o državnim službenicima  </w:t>
      </w:r>
    </w:p>
    <w:p w:rsidR="00CE4AAC" w:rsidRDefault="008466C5">
      <w:pPr>
        <w:pStyle w:val="Normal5"/>
      </w:pPr>
      <w:r>
        <w:t>Zakon o državnom odvjetništvu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8"/>
        <w:gridCol w:w="1562"/>
        <w:gridCol w:w="1546"/>
        <w:gridCol w:w="1546"/>
        <w:gridCol w:w="1537"/>
        <w:gridCol w:w="1537"/>
        <w:gridCol w:w="970"/>
      </w:tblGrid>
      <w:tr w:rsidR="00CE4AAC">
        <w:trPr>
          <w:jc w:val="center"/>
        </w:trPr>
        <w:tc>
          <w:tcPr>
            <w:tcW w:w="153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CE4AAC">
        <w:trPr>
          <w:jc w:val="center"/>
        </w:trPr>
        <w:tc>
          <w:tcPr>
            <w:tcW w:w="153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A515017-OBVEZE PO SUDSKIM SPOROVIMA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00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20.573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22.000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00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00</w:t>
            </w:r>
          </w:p>
        </w:tc>
        <w:tc>
          <w:tcPr>
            <w:tcW w:w="51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106,9</w:t>
            </w:r>
          </w:p>
        </w:tc>
      </w:tr>
    </w:tbl>
    <w:p w:rsidR="00CE4AAC" w:rsidRDefault="00CE4AAC">
      <w:pPr>
        <w:jc w:val="left"/>
      </w:pPr>
    </w:p>
    <w:p w:rsidR="00CE4AAC" w:rsidRDefault="008466C5">
      <w:r>
        <w:t xml:space="preserve">U okviru aktivnosti A515017 Obveze po sudskim sporovima planirana su sredstva u iznosu 22.000,00 eura za 2025. godinu za jedan sudski spor koji protiv Ureda vodi bivša djelatnica (trošak sudskog postupka, isplata kamata te glavnice). </w:t>
      </w:r>
    </w:p>
    <w:p w:rsidR="00CE4AAC" w:rsidRDefault="008466C5">
      <w:r>
        <w:t>U nastavku dajemo raz</w:t>
      </w:r>
      <w:r>
        <w:t xml:space="preserve">radu planiranih sredstava po skupinama rashoda kako slijedi:  </w:t>
      </w:r>
    </w:p>
    <w:p w:rsidR="00CE4AAC" w:rsidRDefault="008466C5">
      <w:r>
        <w:t xml:space="preserve"> </w:t>
      </w:r>
    </w:p>
    <w:p w:rsidR="00CE4AAC" w:rsidRDefault="008466C5">
      <w:r>
        <w:t xml:space="preserve">32 Materijalni rashodi  </w:t>
      </w:r>
    </w:p>
    <w:p w:rsidR="00CE4AAC" w:rsidRDefault="008466C5">
      <w:r>
        <w:t xml:space="preserve">Planirana su sredstva u iznosu 2.000,00 eura za 2025. godinu.  </w:t>
      </w:r>
    </w:p>
    <w:p w:rsidR="00CE4AAC" w:rsidRDefault="008466C5">
      <w:r>
        <w:t xml:space="preserve">   </w:t>
      </w:r>
    </w:p>
    <w:p w:rsidR="00CE4AAC" w:rsidRDefault="008466C5">
      <w:r>
        <w:t xml:space="preserve">34 Financijski rashodi  </w:t>
      </w:r>
    </w:p>
    <w:p w:rsidR="00CE4AAC" w:rsidRDefault="008466C5">
      <w:r>
        <w:t xml:space="preserve">Planirana su sredstva u iznosu 10.000,00 eura za 2025. godinu.  </w:t>
      </w:r>
    </w:p>
    <w:p w:rsidR="00CE4AAC" w:rsidRDefault="008466C5">
      <w:r>
        <w:t xml:space="preserve">   </w:t>
      </w:r>
    </w:p>
    <w:p w:rsidR="00CE4AAC" w:rsidRDefault="008466C5">
      <w:r>
        <w:t xml:space="preserve">38 Rashodi za donacije, kazne, naknade šteta i kapitalne pomoći  </w:t>
      </w:r>
    </w:p>
    <w:p w:rsidR="00CE4AAC" w:rsidRDefault="008466C5">
      <w:r>
        <w:t>Planirana su sredstva u iznosu 10.000,00 eura za 2025. godinu.</w:t>
      </w:r>
    </w:p>
    <w:p w:rsidR="00CE4AAC" w:rsidRDefault="008466C5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885"/>
        <w:gridCol w:w="1843"/>
        <w:gridCol w:w="917"/>
        <w:gridCol w:w="896"/>
        <w:gridCol w:w="917"/>
        <w:gridCol w:w="917"/>
        <w:gridCol w:w="917"/>
      </w:tblGrid>
      <w:tr w:rsidR="00CE4AAC">
        <w:trPr>
          <w:jc w:val="center"/>
        </w:trPr>
        <w:tc>
          <w:tcPr>
            <w:tcW w:w="2245" w:type="dxa"/>
            <w:shd w:val="clear" w:color="auto" w:fill="B5C0D8"/>
          </w:tcPr>
          <w:p w:rsidR="00CE4AAC" w:rsidRDefault="008466C5">
            <w:r>
              <w:t>Pokazatelj rezultata</w:t>
            </w:r>
          </w:p>
        </w:tc>
        <w:tc>
          <w:tcPr>
            <w:tcW w:w="2245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2245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Ciljana vrijednost (2027.)</w:t>
            </w:r>
          </w:p>
        </w:tc>
      </w:tr>
      <w:tr w:rsidR="00CE4AAC">
        <w:trPr>
          <w:jc w:val="center"/>
        </w:trPr>
        <w:tc>
          <w:tcPr>
            <w:tcW w:w="2245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Broj podmirenih sudskih sporova</w:t>
            </w:r>
          </w:p>
        </w:tc>
        <w:tc>
          <w:tcPr>
            <w:tcW w:w="2245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Jedna bivša djelatnica vodi sudski spor protiv Ureda čije se rješavanje očekuje u 2025. godini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broj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Ured</w:t>
            </w:r>
          </w:p>
        </w:tc>
        <w:tc>
          <w:tcPr>
            <w:tcW w:w="918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</w:t>
            </w:r>
          </w:p>
        </w:tc>
        <w:tc>
          <w:tcPr>
            <w:tcW w:w="918" w:type="dxa"/>
          </w:tcPr>
          <w:p w:rsidR="00CE4AAC" w:rsidRDefault="00CE4AAC">
            <w:pPr>
              <w:jc w:val="left"/>
            </w:pPr>
          </w:p>
        </w:tc>
        <w:tc>
          <w:tcPr>
            <w:tcW w:w="918" w:type="dxa"/>
          </w:tcPr>
          <w:p w:rsidR="00CE4AAC" w:rsidRDefault="00CE4AAC">
            <w:pPr>
              <w:jc w:val="left"/>
            </w:pPr>
          </w:p>
        </w:tc>
      </w:tr>
    </w:tbl>
    <w:p w:rsidR="00CE4AAC" w:rsidRDefault="00CE4AAC">
      <w:pPr>
        <w:jc w:val="left"/>
      </w:pPr>
    </w:p>
    <w:p w:rsidR="00CE4AAC" w:rsidRDefault="008466C5">
      <w:pPr>
        <w:pStyle w:val="Heading4"/>
      </w:pPr>
      <w:r>
        <w:t>K515008 INFORMATIZACIJA UREDA ZA OPĆE POSLOVE HRVATSKOGA SABORA I VLADE REPUBLIKE HRVATSKE</w:t>
      </w:r>
    </w:p>
    <w:p w:rsidR="00CE4AAC" w:rsidRDefault="008466C5">
      <w:pPr>
        <w:pStyle w:val="Heading8"/>
        <w:jc w:val="left"/>
      </w:pPr>
      <w:r>
        <w:t>Zakonske i druge pravne osnove</w:t>
      </w:r>
    </w:p>
    <w:p w:rsidR="00CE4AAC" w:rsidRDefault="008466C5">
      <w:pPr>
        <w:pStyle w:val="Normal5"/>
      </w:pPr>
      <w:r>
        <w:t>Uredba o Uredu za opće poslove Hrvatskoga sabora i Vlade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481"/>
        <w:gridCol w:w="1446"/>
        <w:gridCol w:w="1465"/>
        <w:gridCol w:w="1465"/>
        <w:gridCol w:w="1465"/>
        <w:gridCol w:w="970"/>
      </w:tblGrid>
      <w:tr w:rsidR="00CE4AAC">
        <w:trPr>
          <w:jc w:val="center"/>
        </w:trPr>
        <w:tc>
          <w:tcPr>
            <w:tcW w:w="153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</w:t>
            </w:r>
            <w:r>
              <w:rPr>
                <w:rFonts w:cs="Times New Roman"/>
              </w:rPr>
              <w:t>an 2025.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CE4AAC">
        <w:trPr>
          <w:jc w:val="center"/>
        </w:trPr>
        <w:tc>
          <w:tcPr>
            <w:tcW w:w="153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K515008-INFORMATIZACIJA UREDA ZA OPĆE POSLOVE HRVATSKOGA SABORA I VLADE REPUBLIKE HRVATSKE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105.439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58.400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199.000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174.000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174.000</w:t>
            </w:r>
          </w:p>
        </w:tc>
        <w:tc>
          <w:tcPr>
            <w:tcW w:w="51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340,8</w:t>
            </w:r>
          </w:p>
        </w:tc>
      </w:tr>
    </w:tbl>
    <w:p w:rsidR="00CE4AAC" w:rsidRDefault="00CE4AAC">
      <w:pPr>
        <w:jc w:val="left"/>
      </w:pPr>
    </w:p>
    <w:p w:rsidR="00CE4AAC" w:rsidRDefault="008466C5">
      <w:r>
        <w:t xml:space="preserve">U okviru kapitalnog projekta K515008 Informatizacija Ureda za opće poslove Hrvatskoga sabora i Vlade Republike Hrvatske planirana su sredstva u iznosu 199.000,00 eura za 2025. godinu, 174.000,00 eura za 2026. godinu te 174.000,00 eura za 2027. godinu.  </w:t>
      </w:r>
    </w:p>
    <w:p w:rsidR="00CE4AAC" w:rsidRDefault="008466C5">
      <w:r>
        <w:t xml:space="preserve">  </w:t>
      </w:r>
      <w:r>
        <w:t xml:space="preserve"> </w:t>
      </w:r>
    </w:p>
    <w:p w:rsidR="00CE4AAC" w:rsidRDefault="008466C5">
      <w:r>
        <w:t xml:space="preserve">U nastavku dajemo razradu planiranih sredstava po skupinama rashoda kako slijedi:  </w:t>
      </w:r>
    </w:p>
    <w:p w:rsidR="00CE4AAC" w:rsidRDefault="008466C5">
      <w:r>
        <w:t xml:space="preserve"> </w:t>
      </w:r>
    </w:p>
    <w:p w:rsidR="00CE4AAC" w:rsidRDefault="008466C5">
      <w:r>
        <w:t xml:space="preserve">32 Materijalni rashodi  </w:t>
      </w:r>
    </w:p>
    <w:p w:rsidR="00CE4AAC" w:rsidRDefault="008466C5">
      <w:r>
        <w:t>Planirana su sredstva u iznosu 114.000,00 eura za svaku godinu planiranja. Sredstva su planirana za podmirenje Microsoft licenci, dodatnih Offi</w:t>
      </w:r>
      <w:r>
        <w:t xml:space="preserve">ce i Windows licenci, firewall licenci te licenci Abby fine reader, Fortinet i team viewer. </w:t>
      </w:r>
    </w:p>
    <w:p w:rsidR="00CE4AAC" w:rsidRDefault="008466C5">
      <w:r>
        <w:t xml:space="preserve">    </w:t>
      </w:r>
    </w:p>
    <w:p w:rsidR="00CE4AAC" w:rsidRDefault="008466C5">
      <w:r>
        <w:t xml:space="preserve">42 Rashodi za nabavu proizvedene dugotrajne imovine  </w:t>
      </w:r>
    </w:p>
    <w:p w:rsidR="00CE4AAC" w:rsidRDefault="008466C5">
      <w:r>
        <w:t>Planirana su sredstva u iznosu 85.000,00 eura za 2025. godinu, 60.000,00 eura za 2026. godinu i 60.000,0</w:t>
      </w:r>
      <w:r>
        <w:t>0 eura za 2027. godinu. Sredstva su planirana za nabavu 2 vatrozida, zamjenu postojeće i nabavu nove računalne opreme te nadogradnju postojećih aplikativnih rješenja.</w:t>
      </w:r>
    </w:p>
    <w:p w:rsidR="00CE4AAC" w:rsidRDefault="008466C5">
      <w:pPr>
        <w:pStyle w:val="Heading4"/>
      </w:pPr>
      <w:r>
        <w:t>K515016 OBNOVA VOZNOG PARKA</w:t>
      </w:r>
    </w:p>
    <w:p w:rsidR="00CE4AAC" w:rsidRDefault="008466C5">
      <w:pPr>
        <w:pStyle w:val="Heading8"/>
        <w:jc w:val="left"/>
      </w:pPr>
      <w:r>
        <w:t>Zakonske i druge pravne osnove</w:t>
      </w:r>
    </w:p>
    <w:p w:rsidR="00CE4AAC" w:rsidRDefault="008466C5">
      <w:pPr>
        <w:pStyle w:val="Normal5"/>
      </w:pPr>
      <w:r>
        <w:t>Uredba o Uredu za opće poslove</w:t>
      </w:r>
      <w:r>
        <w:t xml:space="preserve"> Hrvatskoga sabora i Vlade Republike Hrvatske </w:t>
      </w:r>
    </w:p>
    <w:p w:rsidR="00CE4AAC" w:rsidRDefault="008466C5">
      <w:pPr>
        <w:pStyle w:val="Normal5"/>
      </w:pPr>
      <w:r>
        <w:t>Smjernice za upravljanje voznim parkom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78"/>
        <w:gridCol w:w="1558"/>
        <w:gridCol w:w="1550"/>
        <w:gridCol w:w="1550"/>
        <w:gridCol w:w="1550"/>
        <w:gridCol w:w="1550"/>
        <w:gridCol w:w="970"/>
      </w:tblGrid>
      <w:tr w:rsidR="00CE4AAC">
        <w:trPr>
          <w:jc w:val="center"/>
        </w:trPr>
        <w:tc>
          <w:tcPr>
            <w:tcW w:w="153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CE4AAC" w:rsidRDefault="008466C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CE4AAC">
        <w:trPr>
          <w:jc w:val="center"/>
        </w:trPr>
        <w:tc>
          <w:tcPr>
            <w:tcW w:w="153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K515016-OBNOVA VOZNOG PARKA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150.335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104.325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180.000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150.000</w:t>
            </w:r>
          </w:p>
        </w:tc>
        <w:tc>
          <w:tcPr>
            <w:tcW w:w="1632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150.000</w:t>
            </w:r>
          </w:p>
        </w:tc>
        <w:tc>
          <w:tcPr>
            <w:tcW w:w="510" w:type="dxa"/>
          </w:tcPr>
          <w:p w:rsidR="00CE4AAC" w:rsidRDefault="008466C5">
            <w:pPr>
              <w:pStyle w:val="CellColumn"/>
            </w:pPr>
            <w:r>
              <w:rPr>
                <w:rFonts w:cs="Times New Roman"/>
              </w:rPr>
              <w:t>172,5</w:t>
            </w:r>
          </w:p>
        </w:tc>
      </w:tr>
    </w:tbl>
    <w:p w:rsidR="00CE4AAC" w:rsidRDefault="00CE4AAC">
      <w:pPr>
        <w:jc w:val="left"/>
      </w:pPr>
    </w:p>
    <w:p w:rsidR="00CE4AAC" w:rsidRDefault="008466C5">
      <w:r>
        <w:t>U okviru kapitalnog projekta K515016 Obnova voznog parka i skupini rashoda 42 Rashodi za nabavu proizvedene dugotrajne imovine planirana su sredstva u iznosu 180.000,00 eura za 2025. godinu, 150.000,00 eura za 2026. godinu te 150.000,00 eura za 2027. godin</w:t>
      </w:r>
      <w:r>
        <w:t>u. Sredstva su planirana za početak financijskog leasinga na 5 godina za 9 službenih automobila te potencijalnu samostalnu nabavu 1 službenog automobila.</w:t>
      </w:r>
    </w:p>
    <w:sectPr w:rsidR="00CE4AAC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8466C5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8466C5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66C5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CE4AAC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A1DFE-AD61-4C25-9439-1EAE913C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2</cp:revision>
  <dcterms:created xsi:type="dcterms:W3CDTF">2024-12-20T09:40:00Z</dcterms:created>
  <dcterms:modified xsi:type="dcterms:W3CDTF">2024-12-20T09:40:00Z</dcterms:modified>
</cp:coreProperties>
</file>